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4 -->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黑体" w:eastAsia="黑体" w:hAnsi="黑体" w:hint="eastAsia"/>
          <w:b/>
          <w:color w:val="FF0000"/>
          <w:sz w:val="84"/>
          <w:szCs w:val="84"/>
        </w:rPr>
      </w:pPr>
      <w:r>
        <w:rPr>
          <w:rFonts w:ascii="宋体" w:eastAsia="宋体" w:hAnsi="宋体" w:cs="新宋体" w:hint="eastAsia"/>
          <w:b/>
          <w:color w:val="FF0000"/>
          <w:sz w:val="84"/>
          <w:szCs w:val="84"/>
          <w:u w:val="thick"/>
        </w:rPr>
        <w:t>琼台师范学院教务处文件</w:t>
      </w:r>
    </w:p>
    <w:p>
      <w:pPr>
        <w:wordWrap w:val="0"/>
        <w:spacing w:line="540" w:lineRule="exact"/>
        <w:jc w:val="center"/>
        <w:rPr>
          <w:rFonts w:ascii="仿宋" w:eastAsia="仿宋" w:hAnsi="仿宋" w:hint="eastAsia"/>
          <w:sz w:val="32"/>
          <w:szCs w:val="32"/>
        </w:rPr>
      </w:pPr>
      <w:r>
        <w:rPr>
          <w:rFonts w:ascii="宋体" w:hAnsi="宋体" w:hint="eastAsia"/>
          <w:b/>
          <w:sz w:val="32"/>
          <w:szCs w:val="32"/>
          <w:lang w:val="en-US" w:eastAsia="zh-CN"/>
        </w:rPr>
        <w:t xml:space="preserve">                              </w:t>
      </w:r>
      <w:r>
        <w:rPr>
          <w:rFonts w:ascii="仿宋" w:eastAsia="仿宋" w:hAnsi="仿宋" w:hint="eastAsia"/>
          <w:sz w:val="32"/>
          <w:szCs w:val="32"/>
        </w:rPr>
        <w:t>琼台教务〔202</w:t>
      </w:r>
      <w:r>
        <w:rPr>
          <w:rFonts w:ascii="仿宋" w:eastAsia="仿宋" w:hAnsi="仿宋" w:hint="eastAsia"/>
          <w:sz w:val="32"/>
          <w:szCs w:val="32"/>
          <w:lang w:val="en-US" w:eastAsia="zh-CN"/>
        </w:rPr>
        <w:t>1</w:t>
      </w:r>
      <w:r>
        <w:rPr>
          <w:rFonts w:ascii="仿宋" w:eastAsia="仿宋" w:hAnsi="仿宋" w:hint="eastAsia"/>
          <w:sz w:val="32"/>
          <w:szCs w:val="32"/>
        </w:rPr>
        <w:t>〕</w:t>
      </w:r>
      <w:r>
        <w:rPr>
          <w:rFonts w:ascii="仿宋" w:eastAsia="仿宋" w:hAnsi="仿宋" w:hint="eastAsia"/>
          <w:sz w:val="32"/>
          <w:szCs w:val="32"/>
          <w:lang w:val="en-US" w:eastAsia="zh-CN"/>
        </w:rPr>
        <w:t>27</w:t>
      </w:r>
      <w:r>
        <w:rPr>
          <w:rFonts w:ascii="仿宋" w:eastAsia="仿宋" w:hAnsi="仿宋" w:hint="eastAsia"/>
          <w:sz w:val="32"/>
          <w:szCs w:val="32"/>
        </w:rPr>
        <w:t>号</w:t>
      </w:r>
    </w:p>
    <w:p>
      <w:pPr>
        <w:rPr>
          <w:rFonts w:ascii="宋体" w:hAnsi="宋体" w:hint="eastAsia"/>
          <w:b/>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right="0" w:firstLine="0" w:leftChars="0" w:rightChars="0" w:firstLineChars="0"/>
        <w:jc w:val="center"/>
        <w:textAlignment w:val="auto"/>
        <w:outlineLvl w:val="9"/>
        <w:rPr>
          <w:rFonts w:ascii="方正小标宋_GBK" w:eastAsia="方正小标宋_GBK" w:hAnsi="方正小标宋_GBK" w:cs="方正小标宋_GBK" w:hint="eastAsia"/>
          <w:sz w:val="44"/>
          <w:szCs w:val="44"/>
          <w:lang w:val="en-US" w:eastAsia="zh-CN"/>
        </w:rPr>
      </w:pPr>
      <w:r>
        <w:rPr>
          <w:rFonts w:ascii="方正小标宋_GBK" w:eastAsia="方正小标宋_GBK" w:hAnsi="方正小标宋_GBK" w:cs="方正小标宋_GBK" w:hint="eastAsia"/>
          <w:sz w:val="44"/>
          <w:szCs w:val="44"/>
          <w:lang w:val="en-US" w:eastAsia="zh-CN"/>
        </w:rPr>
        <w:t>关于做好线上课程资源建设和教学平台应用</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right="0" w:firstLine="0" w:leftChars="0" w:rightChars="0" w:firstLineChars="0"/>
        <w:jc w:val="center"/>
        <w:textAlignment w:val="auto"/>
        <w:outlineLvl w:val="9"/>
        <w:rPr>
          <w:rFonts w:ascii="方正小标宋_GBK" w:eastAsia="方正小标宋_GBK" w:hAnsi="方正小标宋_GBK" w:cs="方正小标宋_GBK" w:hint="eastAsia"/>
          <w:sz w:val="44"/>
          <w:szCs w:val="44"/>
          <w:lang w:val="en-US" w:eastAsia="zh-CN"/>
        </w:rPr>
      </w:pPr>
      <w:r>
        <w:rPr>
          <w:rFonts w:ascii="方正小标宋_GBK" w:eastAsia="方正小标宋_GBK" w:hAnsi="方正小标宋_GBK" w:cs="方正小标宋_GBK" w:hint="eastAsia"/>
          <w:sz w:val="44"/>
          <w:szCs w:val="44"/>
          <w:lang w:val="en-US" w:eastAsia="zh-CN"/>
        </w:rPr>
        <w:t>专题培训工作的通知</w:t>
      </w:r>
    </w:p>
    <w:p>
      <w:pPr>
        <w:jc w:val="both"/>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各二级学院：</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为了进一步推动现代信息技术与教育教学的深度融合，深化课堂教学改革，提升教师信息技术综合应用能力和信息化教学水平，打造省、校两级</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lang w:val="en-US" w:eastAsia="zh-CN"/>
        </w:rPr>
        <w:t>一流本科课程</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lang w:val="en-US" w:eastAsia="zh-CN"/>
        </w:rPr>
        <w:t>，提高课堂教学和人才培养质量。学校邀请海南超星信息技术有限公司和上海卓越睿新数码科技有限公司（智慧树）分别为我校教师开展</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lang w:val="en-US" w:eastAsia="zh-CN"/>
        </w:rPr>
        <w:t>线上课程资源建设和教学平台应用</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lang w:val="en-US" w:eastAsia="zh-CN"/>
        </w:rPr>
        <w:t>专题培训。现就本次培训活动有关事项安排如下：</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eastAsia"/>
          <w:b/>
          <w:bCs/>
          <w:sz w:val="32"/>
          <w:szCs w:val="32"/>
          <w:lang w:val="en-US" w:eastAsia="zh-CN"/>
        </w:rPr>
      </w:pPr>
      <w:r>
        <w:rPr>
          <w:rFonts w:ascii="仿宋_GB2312" w:eastAsia="仿宋_GB2312" w:hAnsi="仿宋_GB2312" w:cs="仿宋_GB2312" w:hint="eastAsia"/>
          <w:b/>
          <w:bCs/>
          <w:sz w:val="32"/>
          <w:szCs w:val="32"/>
          <w:lang w:val="en-US" w:eastAsia="zh-CN"/>
        </w:rPr>
        <w:t>一、培训对象</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校内所有承担教学任务的专任教师和兼课教师。</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eastAsia"/>
          <w:b/>
          <w:bCs/>
          <w:sz w:val="32"/>
          <w:szCs w:val="32"/>
          <w:lang w:val="en-US" w:eastAsia="zh-CN"/>
        </w:rPr>
      </w:pPr>
      <w:r>
        <w:rPr>
          <w:rFonts w:ascii="仿宋_GB2312" w:eastAsia="仿宋_GB2312" w:hAnsi="仿宋_GB2312" w:cs="仿宋_GB2312" w:hint="eastAsia"/>
          <w:b/>
          <w:bCs/>
          <w:sz w:val="32"/>
          <w:szCs w:val="32"/>
          <w:lang w:val="en-US" w:eastAsia="zh-CN"/>
        </w:rPr>
        <w:t>二、培训主题</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（一）线上课程资源的建设。</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（二）线上教学平台应用与课堂教学改革。</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eastAsia"/>
          <w:b/>
          <w:bCs/>
          <w:sz w:val="32"/>
          <w:szCs w:val="32"/>
          <w:lang w:val="en-US" w:eastAsia="zh-CN"/>
        </w:rPr>
      </w:pPr>
      <w:r>
        <w:rPr>
          <w:rFonts w:ascii="仿宋_GB2312" w:eastAsia="仿宋_GB2312" w:hAnsi="仿宋_GB2312" w:cs="仿宋_GB2312" w:hint="eastAsia"/>
          <w:b/>
          <w:bCs/>
          <w:sz w:val="32"/>
          <w:szCs w:val="32"/>
          <w:lang w:val="en-US" w:eastAsia="zh-CN"/>
        </w:rPr>
        <w:t>三、培训活动安排</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default"/>
          <w:sz w:val="32"/>
          <w:szCs w:val="32"/>
          <w:lang w:val="en-US" w:eastAsia="zh-CN"/>
        </w:rPr>
      </w:pPr>
    </w:p>
    <w:tbl>
      <w:tblPr>
        <w:tblStyle w:val="TableGrid"/>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1074"/>
        <w:gridCol w:w="1764"/>
        <w:gridCol w:w="1101"/>
        <w:gridCol w:w="2430"/>
        <w:gridCol w:w="1245"/>
        <w:gridCol w:w="1470"/>
      </w:tblGrid>
      <w:tr>
        <w:tblPrEx>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c>
          <w:tcPr>
            <w:tcW w:w="1074"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培训场次</w:t>
            </w:r>
          </w:p>
        </w:tc>
        <w:tc>
          <w:tcPr>
            <w:tcW w:w="1764"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eastAsia="宋体" w:hAnsi="宋体" w:cs="宋体" w:hint="eastAsia"/>
                <w:i w:val="0"/>
                <w:caps w:val="0"/>
                <w:color w:val="000000"/>
                <w:spacing w:val="0"/>
                <w:sz w:val="21"/>
                <w:szCs w:val="21"/>
                <w:shd w:val="clear" w:color="auto" w:fill="FFFFFF"/>
                <w:vertAlign w:val="baseline"/>
                <w:lang w:val="en-US" w:eastAsia="zh-CN"/>
              </w:rPr>
              <w:t>培训时间</w:t>
            </w:r>
          </w:p>
        </w:tc>
        <w:tc>
          <w:tcPr>
            <w:tcW w:w="1101"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eastAsia="宋体" w:hAnsi="宋体" w:cs="宋体" w:hint="eastAsia"/>
                <w:i w:val="0"/>
                <w:caps w:val="0"/>
                <w:color w:val="000000"/>
                <w:spacing w:val="0"/>
                <w:sz w:val="21"/>
                <w:szCs w:val="21"/>
                <w:shd w:val="clear" w:color="auto" w:fill="FFFFFF"/>
                <w:vertAlign w:val="baseline"/>
                <w:lang w:val="en-US" w:eastAsia="zh-CN"/>
              </w:rPr>
              <w:t>培训地点</w:t>
            </w:r>
          </w:p>
        </w:tc>
        <w:tc>
          <w:tcPr>
            <w:tcW w:w="243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eastAsia="宋体" w:hAnsi="宋体" w:cs="宋体" w:hint="eastAsia"/>
                <w:i w:val="0"/>
                <w:caps w:val="0"/>
                <w:color w:val="000000"/>
                <w:spacing w:val="0"/>
                <w:sz w:val="21"/>
                <w:szCs w:val="21"/>
                <w:shd w:val="clear" w:color="auto" w:fill="FFFFFF"/>
                <w:vertAlign w:val="baseline"/>
                <w:lang w:val="en-US" w:eastAsia="zh-CN"/>
              </w:rPr>
              <w:t>培训内容</w:t>
            </w:r>
          </w:p>
        </w:tc>
        <w:tc>
          <w:tcPr>
            <w:tcW w:w="124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eastAsia="宋体" w:hAnsi="宋体" w:cs="宋体" w:hint="eastAsia"/>
                <w:i w:val="0"/>
                <w:caps w:val="0"/>
                <w:color w:val="000000"/>
                <w:spacing w:val="0"/>
                <w:sz w:val="21"/>
                <w:szCs w:val="21"/>
                <w:shd w:val="clear" w:color="auto" w:fill="FFFFFF"/>
                <w:vertAlign w:val="baseline"/>
                <w:lang w:val="en-US" w:eastAsia="zh-CN"/>
              </w:rPr>
              <w:t>培训人</w:t>
            </w:r>
          </w:p>
        </w:tc>
        <w:tc>
          <w:tcPr>
            <w:tcW w:w="147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参训学院</w:t>
            </w:r>
          </w:p>
        </w:tc>
      </w:tr>
      <w:tr>
        <w:tblPrEx>
          <w:tblW w:w="9084" w:type="dxa"/>
          <w:tblCellMar>
            <w:top w:w="0" w:type="dxa"/>
            <w:left w:w="108" w:type="dxa"/>
            <w:bottom w:w="0" w:type="dxa"/>
            <w:right w:w="108" w:type="dxa"/>
          </w:tblCellMar>
          <w:tblLook w:val="0000"/>
        </w:tblPrEx>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第1场</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4月6日（周二）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14:30-17:00</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桂林洋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文C202</w:t>
            </w:r>
          </w:p>
        </w:tc>
        <w:tc>
          <w:tcPr>
            <w:tcW w:w="2430" w:type="dxa"/>
            <w:vMerge w:val="restart"/>
            <w:vAlign w:val="center"/>
          </w:tcPr>
          <w:p>
            <w:pPr>
              <w:keepNext w:val="0"/>
              <w:keepLines w:val="0"/>
              <w:widowControl/>
              <w:numPr>
                <w:ilvl w:val="0"/>
                <w:numId w:val="0"/>
              </w:numPr>
              <w:suppressLineNumbers w:val="0"/>
              <w:jc w:val="left"/>
              <w:textAlignment w:val="center"/>
              <w:rPr>
                <w:rFonts w:ascii="宋体" w:hAnsi="宋体" w:cs="宋体" w:hint="eastAsia"/>
                <w:i w:val="0"/>
                <w:color w:val="000000"/>
                <w:kern w:val="0"/>
                <w:sz w:val="21"/>
                <w:szCs w:val="21"/>
                <w:u w:val="none"/>
                <w:lang w:val="en-US" w:eastAsia="zh-CN" w:bidi="ar"/>
              </w:rPr>
            </w:pPr>
            <w:r>
              <w:rPr>
                <w:rFonts w:ascii="宋体" w:hAnsi="宋体" w:cs="宋体" w:hint="eastAsia"/>
                <w:i w:val="0"/>
                <w:color w:val="000000"/>
                <w:kern w:val="0"/>
                <w:sz w:val="21"/>
                <w:szCs w:val="21"/>
                <w:u w:val="none"/>
                <w:lang w:val="en-US" w:eastAsia="zh-CN" w:bidi="ar"/>
              </w:rPr>
              <w:t>1.超星一平三端平台网络课程资源的引用；</w:t>
            </w:r>
          </w:p>
          <w:p>
            <w:pPr>
              <w:keepNext w:val="0"/>
              <w:keepLines w:val="0"/>
              <w:widowControl/>
              <w:numPr>
                <w:ilvl w:val="0"/>
                <w:numId w:val="0"/>
              </w:numPr>
              <w:suppressLineNumbers w:val="0"/>
              <w:jc w:val="left"/>
              <w:textAlignment w:val="center"/>
              <w:rPr>
                <w:rFonts w:ascii="宋体" w:hAnsi="宋体" w:cs="宋体" w:hint="eastAsia"/>
                <w:i w:val="0"/>
                <w:color w:val="000000"/>
                <w:kern w:val="0"/>
                <w:sz w:val="21"/>
                <w:szCs w:val="21"/>
                <w:u w:val="none"/>
                <w:lang w:val="en-US" w:eastAsia="zh-CN" w:bidi="ar"/>
              </w:rPr>
            </w:pPr>
            <w:r>
              <w:rPr>
                <w:rFonts w:ascii="宋体" w:hAnsi="宋体" w:cs="宋体" w:hint="eastAsia"/>
                <w:i w:val="0"/>
                <w:color w:val="000000"/>
                <w:kern w:val="0"/>
                <w:sz w:val="21"/>
                <w:szCs w:val="21"/>
                <w:u w:val="none"/>
                <w:lang w:val="en-US" w:eastAsia="zh-CN" w:bidi="ar"/>
              </w:rPr>
              <w:t>2.超星一平三端平台课程资源的自主建设；</w:t>
            </w:r>
          </w:p>
          <w:p>
            <w:pPr>
              <w:keepNext w:val="0"/>
              <w:keepLines w:val="0"/>
              <w:widowControl/>
              <w:numPr>
                <w:ilvl w:val="0"/>
                <w:numId w:val="0"/>
              </w:numPr>
              <w:suppressLineNumbers w:val="0"/>
              <w:jc w:val="left"/>
              <w:textAlignment w:val="center"/>
              <w:rPr>
                <w:rFonts w:ascii="宋体" w:hAnsi="宋体" w:cs="宋体" w:hint="eastAsia"/>
                <w:i w:val="0"/>
                <w:color w:val="000000"/>
                <w:kern w:val="0"/>
                <w:sz w:val="21"/>
                <w:szCs w:val="21"/>
                <w:u w:val="none"/>
                <w:lang w:val="en-US" w:eastAsia="zh-CN" w:bidi="ar"/>
              </w:rPr>
            </w:pPr>
            <w:r>
              <w:rPr>
                <w:rFonts w:ascii="宋体" w:hAnsi="宋体" w:cs="宋体" w:hint="eastAsia"/>
                <w:i w:val="0"/>
                <w:color w:val="000000"/>
                <w:kern w:val="0"/>
                <w:sz w:val="21"/>
                <w:szCs w:val="21"/>
                <w:u w:val="none"/>
                <w:lang w:val="en-US" w:eastAsia="zh-CN" w:bidi="ar"/>
              </w:rPr>
              <w:t>3.超星一平三端平台线上（直播、互动）教学和线上线下混合式教学应用。</w:t>
            </w:r>
          </w:p>
          <w:p>
            <w:pPr>
              <w:keepNext w:val="0"/>
              <w:keepLines w:val="0"/>
              <w:widowControl/>
              <w:suppressLineNumbers w:val="0"/>
              <w:jc w:val="center"/>
              <w:textAlignment w:val="center"/>
              <w:rPr>
                <w:rFonts w:ascii="宋体" w:eastAsia="宋体" w:hAnsi="宋体" w:cs="宋体" w:hint="default"/>
                <w:i w:val="0"/>
                <w:color w:val="000000"/>
                <w:kern w:val="2"/>
                <w:sz w:val="21"/>
                <w:szCs w:val="21"/>
                <w:u w:val="none"/>
                <w:lang w:val="en-US" w:eastAsia="zh-CN" w:bidi="ar-SA"/>
              </w:rPr>
            </w:pPr>
          </w:p>
        </w:tc>
        <w:tc>
          <w:tcPr>
            <w:tcW w:w="1245" w:type="dxa"/>
            <w:vMerge w:val="restart"/>
            <w:vAlign w:val="center"/>
          </w:tcPr>
          <w:p>
            <w:pPr>
              <w:keepNext w:val="0"/>
              <w:keepLines w:val="0"/>
              <w:widowControl/>
              <w:suppressLineNumbers w:val="0"/>
              <w:jc w:val="center"/>
              <w:textAlignment w:val="center"/>
              <w:rPr>
                <w:rFonts w:ascii="宋体" w:eastAsia="宋体" w:hAnsi="宋体" w:cs="宋体" w:hint="eastAsia"/>
                <w:i w:val="0"/>
                <w:color w:val="000000"/>
                <w:kern w:val="0"/>
                <w:sz w:val="21"/>
                <w:szCs w:val="21"/>
                <w:u w:val="none"/>
                <w:lang w:val="en-US" w:eastAsia="zh-CN" w:bidi="ar"/>
              </w:rPr>
            </w:pPr>
            <w:r>
              <w:rPr>
                <w:rFonts w:ascii="宋体" w:eastAsia="宋体" w:hAnsi="宋体" w:cs="宋体" w:hint="eastAsia"/>
                <w:i w:val="0"/>
                <w:color w:val="000000"/>
                <w:kern w:val="0"/>
                <w:sz w:val="21"/>
                <w:szCs w:val="21"/>
                <w:u w:val="none"/>
                <w:lang w:val="en-US" w:eastAsia="zh-CN" w:bidi="ar"/>
              </w:rPr>
              <w:t>杨蕊</w:t>
            </w:r>
            <w:r>
              <w:rPr>
                <w:rFonts w:ascii="宋体" w:hAnsi="宋体" w:cs="宋体" w:hint="eastAsia"/>
                <w:i w:val="0"/>
                <w:color w:val="000000"/>
                <w:kern w:val="0"/>
                <w:sz w:val="21"/>
                <w:szCs w:val="21"/>
                <w:u w:val="none"/>
                <w:lang w:val="en-US" w:eastAsia="zh-CN" w:bidi="ar"/>
              </w:rPr>
              <w:t>;</w:t>
            </w:r>
          </w:p>
          <w:p>
            <w:pPr>
              <w:keepNext w:val="0"/>
              <w:keepLines w:val="0"/>
              <w:widowControl/>
              <w:suppressLineNumbers w:val="0"/>
              <w:jc w:val="center"/>
              <w:textAlignment w:val="center"/>
              <w:rPr>
                <w:rFonts w:ascii="宋体" w:eastAsia="宋体" w:hAnsi="宋体" w:cs="宋体" w:hint="eastAsia"/>
                <w:i w:val="0"/>
                <w:color w:val="000000"/>
                <w:kern w:val="0"/>
                <w:sz w:val="21"/>
                <w:szCs w:val="21"/>
                <w:u w:val="none"/>
                <w:lang w:val="en-US" w:eastAsia="zh-CN" w:bidi="ar"/>
              </w:rPr>
            </w:pPr>
            <w:r>
              <w:rPr>
                <w:rFonts w:ascii="宋体" w:eastAsia="宋体" w:hAnsi="宋体" w:cs="宋体" w:hint="eastAsia"/>
                <w:i w:val="0"/>
                <w:color w:val="000000"/>
                <w:kern w:val="0"/>
                <w:sz w:val="21"/>
                <w:szCs w:val="21"/>
                <w:u w:val="none"/>
                <w:lang w:val="en-US" w:eastAsia="zh-CN" w:bidi="ar"/>
              </w:rPr>
              <w:t>超星</w:t>
            </w:r>
            <w:r>
              <w:rPr>
                <w:rFonts w:ascii="宋体" w:hAnsi="宋体" w:cs="宋体" w:hint="eastAsia"/>
                <w:i w:val="0"/>
                <w:color w:val="000000"/>
                <w:kern w:val="0"/>
                <w:sz w:val="21"/>
                <w:szCs w:val="21"/>
                <w:u w:val="none"/>
                <w:lang w:val="en-US" w:eastAsia="zh-CN" w:bidi="ar"/>
              </w:rPr>
              <w:t>公司</w:t>
            </w:r>
            <w:r>
              <w:rPr>
                <w:rFonts w:ascii="宋体" w:eastAsia="宋体" w:hAnsi="宋体" w:cs="宋体" w:hint="eastAsia"/>
                <w:i w:val="0"/>
                <w:color w:val="000000"/>
                <w:kern w:val="0"/>
                <w:sz w:val="21"/>
                <w:szCs w:val="21"/>
                <w:u w:val="none"/>
                <w:lang w:val="en-US" w:eastAsia="zh-CN" w:bidi="ar"/>
              </w:rPr>
              <w:t>资深培训师</w:t>
            </w:r>
          </w:p>
          <w:p>
            <w:pPr>
              <w:keepNext w:val="0"/>
              <w:keepLines w:val="0"/>
              <w:widowControl/>
              <w:suppressLineNumbers w:val="0"/>
              <w:jc w:val="center"/>
              <w:textAlignment w:val="center"/>
              <w:rPr>
                <w:rFonts w:ascii="宋体" w:eastAsia="宋体" w:hAnsi="宋体" w:cs="宋体" w:hint="default"/>
                <w:i w:val="0"/>
                <w:color w:val="000000"/>
                <w:kern w:val="2"/>
                <w:sz w:val="21"/>
                <w:szCs w:val="21"/>
                <w:u w:val="none"/>
                <w:lang w:val="en-US" w:eastAsia="zh-CN" w:bidi="ar-SA"/>
              </w:rPr>
            </w:pPr>
          </w:p>
        </w:tc>
        <w:tc>
          <w:tcPr>
            <w:tcW w:w="1470" w:type="dxa"/>
            <w:vAlign w:val="center"/>
          </w:tcPr>
          <w:p>
            <w:pPr>
              <w:keepNext w:val="0"/>
              <w:keepLines w:val="0"/>
              <w:widowControl/>
              <w:suppressLineNumbers w:val="0"/>
              <w:jc w:val="center"/>
              <w:textAlignment w:val="center"/>
              <w:rPr>
                <w:rFonts w:ascii="宋体" w:eastAsia="宋体" w:hAnsi="宋体" w:cs="宋体" w:hint="default"/>
                <w:i w:val="0"/>
                <w:color w:val="000000"/>
                <w:kern w:val="0"/>
                <w:sz w:val="21"/>
                <w:szCs w:val="21"/>
                <w:u w:val="none"/>
                <w:lang w:val="en-US" w:eastAsia="zh-CN" w:bidi="ar"/>
              </w:rPr>
            </w:pPr>
            <w:r>
              <w:rPr>
                <w:rFonts w:ascii="宋体" w:hAnsi="宋体" w:cs="宋体" w:hint="eastAsia"/>
                <w:i w:val="0"/>
                <w:color w:val="000000"/>
                <w:kern w:val="0"/>
                <w:sz w:val="21"/>
                <w:szCs w:val="21"/>
                <w:u w:val="none"/>
                <w:lang w:val="en-US" w:eastAsia="zh-CN" w:bidi="ar"/>
              </w:rPr>
              <w:t>文学院、理学院、外国语学院、管理学院、马克思主义学院</w:t>
            </w:r>
          </w:p>
        </w:tc>
      </w:tr>
      <w:tr>
        <w:tblPrEx>
          <w:tblW w:w="9084" w:type="dxa"/>
          <w:tblCellMar>
            <w:top w:w="0" w:type="dxa"/>
            <w:left w:w="108" w:type="dxa"/>
            <w:bottom w:w="0" w:type="dxa"/>
            <w:right w:w="108" w:type="dxa"/>
          </w:tblCellMar>
          <w:tblLook w:val="0000"/>
        </w:tblPrEx>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第2场</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4月6日（周二）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18:30-21:00</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桂林洋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文C202</w:t>
            </w:r>
          </w:p>
        </w:tc>
        <w:tc>
          <w:tcPr>
            <w:tcW w:w="2430" w:type="dxa"/>
            <w:vMerge/>
            <w:vAlign w:val="center"/>
          </w:tcPr>
          <w:p>
            <w:pPr>
              <w:keepNext w:val="0"/>
              <w:keepLines w:val="0"/>
              <w:widowControl/>
              <w:suppressLineNumbers w:val="0"/>
              <w:jc w:val="center"/>
              <w:textAlignment w:val="center"/>
              <w:rPr>
                <w:rFonts w:ascii="宋体" w:eastAsia="宋体" w:hAnsi="宋体" w:cs="宋体" w:hint="default"/>
                <w:i w:val="0"/>
                <w:color w:val="000000"/>
                <w:kern w:val="2"/>
                <w:sz w:val="21"/>
                <w:szCs w:val="21"/>
                <w:u w:val="none"/>
                <w:lang w:val="en-US" w:eastAsia="zh-CN" w:bidi="ar-SA"/>
              </w:rPr>
            </w:pPr>
          </w:p>
        </w:tc>
        <w:tc>
          <w:tcPr>
            <w:tcW w:w="1245" w:type="dxa"/>
            <w:vMerge/>
            <w:vAlign w:val="center"/>
          </w:tcPr>
          <w:p>
            <w:pPr>
              <w:keepNext w:val="0"/>
              <w:keepLines w:val="0"/>
              <w:widowControl/>
              <w:suppressLineNumbers w:val="0"/>
              <w:jc w:val="center"/>
              <w:textAlignment w:val="center"/>
              <w:rPr>
                <w:rFonts w:ascii="宋体" w:eastAsia="宋体" w:hAnsi="宋体" w:cs="宋体" w:hint="default"/>
                <w:i w:val="0"/>
                <w:color w:val="000000"/>
                <w:kern w:val="2"/>
                <w:sz w:val="21"/>
                <w:szCs w:val="21"/>
                <w:u w:val="none"/>
                <w:lang w:val="en-US" w:eastAsia="zh-CN" w:bidi="ar-SA"/>
              </w:rPr>
            </w:pPr>
          </w:p>
        </w:tc>
        <w:tc>
          <w:tcPr>
            <w:tcW w:w="1470" w:type="dxa"/>
            <w:vAlign w:val="center"/>
          </w:tcPr>
          <w:p>
            <w:pPr>
              <w:keepNext w:val="0"/>
              <w:keepLines w:val="0"/>
              <w:widowControl/>
              <w:suppressLineNumbers w:val="0"/>
              <w:jc w:val="center"/>
              <w:textAlignment w:val="center"/>
              <w:rPr>
                <w:rFonts w:ascii="宋体" w:eastAsia="宋体" w:hAnsi="宋体" w:cs="宋体" w:hint="default"/>
                <w:i w:val="0"/>
                <w:color w:val="000000"/>
                <w:kern w:val="0"/>
                <w:sz w:val="21"/>
                <w:szCs w:val="21"/>
                <w:u w:val="none"/>
                <w:lang w:val="en-US" w:eastAsia="zh-CN" w:bidi="ar"/>
              </w:rPr>
            </w:pPr>
            <w:r>
              <w:rPr>
                <w:rFonts w:ascii="宋体" w:hAnsi="宋体" w:cs="宋体" w:hint="eastAsia"/>
                <w:i w:val="0"/>
                <w:color w:val="000000"/>
                <w:kern w:val="0"/>
                <w:sz w:val="21"/>
                <w:szCs w:val="21"/>
                <w:u w:val="none"/>
                <w:lang w:val="en-US" w:eastAsia="zh-CN" w:bidi="ar"/>
              </w:rPr>
              <w:t>音乐学院、信息科学技术学院、美术学院、体育学院</w:t>
            </w:r>
          </w:p>
        </w:tc>
      </w:tr>
      <w:tr>
        <w:tblPrEx>
          <w:tblW w:w="9084" w:type="dxa"/>
          <w:tblCellMar>
            <w:top w:w="0" w:type="dxa"/>
            <w:left w:w="108" w:type="dxa"/>
            <w:bottom w:w="0" w:type="dxa"/>
            <w:right w:w="108" w:type="dxa"/>
          </w:tblCellMar>
          <w:tblLook w:val="0000"/>
        </w:tblPrEx>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第3场</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4月7日（周三）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18:30-21:00</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府城</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科B201</w:t>
            </w:r>
          </w:p>
        </w:tc>
        <w:tc>
          <w:tcPr>
            <w:tcW w:w="2430" w:type="dxa"/>
            <w:vMerge/>
            <w:vAlign w:val="center"/>
          </w:tcPr>
          <w:p>
            <w:pPr>
              <w:keepNext w:val="0"/>
              <w:keepLines w:val="0"/>
              <w:widowControl/>
              <w:suppressLineNumbers w:val="0"/>
              <w:jc w:val="center"/>
              <w:textAlignment w:val="center"/>
              <w:rPr>
                <w:rFonts w:ascii="宋体" w:eastAsia="宋体" w:hAnsi="宋体" w:cs="宋体" w:hint="default"/>
                <w:i w:val="0"/>
                <w:color w:val="000000"/>
                <w:kern w:val="2"/>
                <w:sz w:val="21"/>
                <w:szCs w:val="21"/>
                <w:u w:val="none"/>
                <w:lang w:val="en-US" w:eastAsia="zh-CN" w:bidi="ar-SA"/>
              </w:rPr>
            </w:pPr>
          </w:p>
        </w:tc>
        <w:tc>
          <w:tcPr>
            <w:tcW w:w="1245" w:type="dxa"/>
            <w:vMerge/>
            <w:vAlign w:val="center"/>
          </w:tcPr>
          <w:p>
            <w:pPr>
              <w:keepNext w:val="0"/>
              <w:keepLines w:val="0"/>
              <w:widowControl/>
              <w:suppressLineNumbers w:val="0"/>
              <w:jc w:val="center"/>
              <w:textAlignment w:val="center"/>
              <w:rPr>
                <w:rFonts w:ascii="宋体" w:eastAsia="宋体" w:hAnsi="宋体" w:cs="宋体" w:hint="default"/>
                <w:i w:val="0"/>
                <w:color w:val="000000"/>
                <w:kern w:val="2"/>
                <w:sz w:val="21"/>
                <w:szCs w:val="21"/>
                <w:u w:val="none"/>
                <w:lang w:val="en-US" w:eastAsia="zh-CN" w:bidi="ar-SA"/>
              </w:rPr>
            </w:pPr>
          </w:p>
        </w:tc>
        <w:tc>
          <w:tcPr>
            <w:tcW w:w="1470" w:type="dxa"/>
            <w:vAlign w:val="center"/>
          </w:tcPr>
          <w:p>
            <w:pPr>
              <w:keepNext w:val="0"/>
              <w:keepLines w:val="0"/>
              <w:widowControl/>
              <w:suppressLineNumbers w:val="0"/>
              <w:jc w:val="center"/>
              <w:textAlignment w:val="center"/>
              <w:rPr>
                <w:rFonts w:ascii="宋体" w:eastAsia="宋体" w:hAnsi="宋体" w:cs="宋体" w:hint="default"/>
                <w:i w:val="0"/>
                <w:color w:val="000000"/>
                <w:kern w:val="0"/>
                <w:sz w:val="21"/>
                <w:szCs w:val="21"/>
                <w:u w:val="none"/>
                <w:lang w:val="en-US" w:eastAsia="zh-CN" w:bidi="ar"/>
              </w:rPr>
            </w:pPr>
            <w:r>
              <w:rPr>
                <w:rFonts w:ascii="宋体" w:hAnsi="宋体" w:cs="宋体" w:hint="eastAsia"/>
                <w:i w:val="0"/>
                <w:color w:val="000000"/>
                <w:kern w:val="0"/>
                <w:sz w:val="21"/>
                <w:szCs w:val="21"/>
                <w:u w:val="none"/>
                <w:lang w:val="en-US" w:eastAsia="zh-CN" w:bidi="ar"/>
              </w:rPr>
              <w:t>学前教育学院</w:t>
            </w:r>
          </w:p>
        </w:tc>
      </w:tr>
      <w:tr>
        <w:tblPrEx>
          <w:tblW w:w="9084" w:type="dxa"/>
          <w:tblCellMar>
            <w:top w:w="0" w:type="dxa"/>
            <w:left w:w="108" w:type="dxa"/>
            <w:bottom w:w="0" w:type="dxa"/>
            <w:right w:w="108" w:type="dxa"/>
          </w:tblCellMar>
          <w:tblLook w:val="0000"/>
        </w:tblPrEx>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i w:val="0"/>
                <w:caps w:val="0"/>
                <w:color w:val="000000"/>
                <w:spacing w:val="0"/>
                <w:kern w:val="2"/>
                <w:sz w:val="21"/>
                <w:szCs w:val="21"/>
                <w:shd w:val="clear" w:color="auto" w:fill="FFFFFF"/>
                <w:vertAlign w:val="baseline"/>
                <w:lang w:val="en-US" w:eastAsia="zh-CN" w:bidi="ar-SA"/>
              </w:rPr>
            </w:pPr>
            <w:r>
              <w:rPr>
                <w:rFonts w:ascii="宋体" w:hAnsi="宋体" w:cs="宋体" w:hint="eastAsia"/>
                <w:i w:val="0"/>
                <w:caps w:val="0"/>
                <w:color w:val="000000"/>
                <w:spacing w:val="0"/>
                <w:sz w:val="21"/>
                <w:szCs w:val="21"/>
                <w:shd w:val="clear" w:color="auto" w:fill="FFFFFF"/>
                <w:vertAlign w:val="baseline"/>
                <w:lang w:val="en-US" w:eastAsia="zh-CN"/>
              </w:rPr>
              <w:t>第4场</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4月13日（周二）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14:30-17:00</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桂林洋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文C201</w:t>
            </w:r>
          </w:p>
        </w:tc>
        <w:tc>
          <w:tcPr>
            <w:tcW w:w="2430" w:type="dxa"/>
            <w:vMerge w:val="restart"/>
            <w:vAlign w:val="center"/>
          </w:tcPr>
          <w:p>
            <w:pPr>
              <w:keepNext w:val="0"/>
              <w:keepLines w:val="0"/>
              <w:widowControl/>
              <w:numPr>
                <w:ilvl w:val="0"/>
                <w:numId w:val="0"/>
              </w:numPr>
              <w:suppressLineNumbers w:val="0"/>
              <w:jc w:val="left"/>
              <w:textAlignment w:val="center"/>
              <w:rPr>
                <w:rFonts w:ascii="宋体" w:hAnsi="宋体" w:cs="宋体" w:hint="eastAsia"/>
                <w:i w:val="0"/>
                <w:color w:val="000000"/>
                <w:kern w:val="0"/>
                <w:sz w:val="21"/>
                <w:szCs w:val="21"/>
                <w:u w:val="none"/>
                <w:lang w:val="en-US" w:eastAsia="zh-CN" w:bidi="ar"/>
              </w:rPr>
            </w:pPr>
            <w:r>
              <w:rPr>
                <w:rFonts w:ascii="宋体" w:hAnsi="宋体" w:cs="宋体" w:hint="eastAsia"/>
                <w:i w:val="0"/>
                <w:color w:val="000000"/>
                <w:kern w:val="0"/>
                <w:sz w:val="21"/>
                <w:szCs w:val="21"/>
                <w:u w:val="none"/>
                <w:lang w:val="en-US" w:eastAsia="zh-CN" w:bidi="ar"/>
              </w:rPr>
              <w:t>1.智慧树平台网络课程（含中西部联盟共享课程）资源的引用；</w:t>
            </w:r>
          </w:p>
          <w:p>
            <w:pPr>
              <w:keepNext w:val="0"/>
              <w:keepLines w:val="0"/>
              <w:widowControl/>
              <w:numPr>
                <w:ilvl w:val="0"/>
                <w:numId w:val="0"/>
              </w:numPr>
              <w:suppressLineNumbers w:val="0"/>
              <w:jc w:val="left"/>
              <w:textAlignment w:val="center"/>
              <w:rPr>
                <w:rFonts w:ascii="宋体" w:hAnsi="宋体" w:cs="宋体" w:hint="eastAsia"/>
                <w:i w:val="0"/>
                <w:color w:val="000000"/>
                <w:kern w:val="0"/>
                <w:sz w:val="21"/>
                <w:szCs w:val="21"/>
                <w:u w:val="none"/>
                <w:lang w:val="en-US" w:eastAsia="zh-CN" w:bidi="ar"/>
              </w:rPr>
            </w:pPr>
            <w:r>
              <w:rPr>
                <w:rFonts w:ascii="宋体" w:hAnsi="宋体" w:cs="宋体" w:hint="eastAsia"/>
                <w:i w:val="0"/>
                <w:color w:val="000000"/>
                <w:kern w:val="0"/>
                <w:sz w:val="21"/>
                <w:szCs w:val="21"/>
                <w:u w:val="none"/>
                <w:lang w:val="en-US" w:eastAsia="zh-CN" w:bidi="ar"/>
              </w:rPr>
              <w:t>2.智慧树平台课程资源的自主建设；</w:t>
            </w:r>
          </w:p>
          <w:p>
            <w:pPr>
              <w:keepNext w:val="0"/>
              <w:keepLines w:val="0"/>
              <w:widowControl/>
              <w:numPr>
                <w:ilvl w:val="0"/>
                <w:numId w:val="0"/>
              </w:numPr>
              <w:suppressLineNumbers w:val="0"/>
              <w:jc w:val="left"/>
              <w:textAlignment w:val="center"/>
              <w:rPr>
                <w:rFonts w:ascii="宋体" w:hAnsi="宋体" w:cs="宋体" w:hint="eastAsia"/>
                <w:i w:val="0"/>
                <w:color w:val="000000"/>
                <w:kern w:val="0"/>
                <w:sz w:val="21"/>
                <w:szCs w:val="21"/>
                <w:u w:val="none"/>
                <w:lang w:val="en-US" w:eastAsia="zh-CN" w:bidi="ar"/>
              </w:rPr>
            </w:pPr>
            <w:r>
              <w:rPr>
                <w:rFonts w:ascii="宋体" w:hAnsi="宋体" w:cs="宋体" w:hint="eastAsia"/>
                <w:i w:val="0"/>
                <w:color w:val="000000"/>
                <w:kern w:val="0"/>
                <w:sz w:val="21"/>
                <w:szCs w:val="21"/>
                <w:u w:val="none"/>
                <w:lang w:val="en-US" w:eastAsia="zh-CN" w:bidi="ar"/>
              </w:rPr>
              <w:t>3.智慧树平台线上（直播、互动）教学、线上线下混合式教学、翻转课堂教学的应用。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eastAsia"/>
                <w:i w:val="0"/>
                <w:caps w:val="0"/>
                <w:color w:val="000000"/>
                <w:spacing w:val="0"/>
                <w:sz w:val="21"/>
                <w:szCs w:val="21"/>
                <w:shd w:val="clear" w:color="auto" w:fill="FFFFFF"/>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p>
        </w:tc>
        <w:tc>
          <w:tcPr>
            <w:tcW w:w="12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洪梦媛;</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上海卓越睿新数码科技有限公司资深培训师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p>
        </w:tc>
        <w:tc>
          <w:tcPr>
            <w:tcW w:w="1470" w:type="dxa"/>
            <w:vAlign w:val="center"/>
          </w:tcPr>
          <w:p>
            <w:pPr>
              <w:keepNext w:val="0"/>
              <w:keepLines w:val="0"/>
              <w:widowControl/>
              <w:suppressLineNumbers w:val="0"/>
              <w:jc w:val="center"/>
              <w:textAlignment w:val="center"/>
              <w:rPr>
                <w:rFonts w:ascii="宋体" w:eastAsia="宋体" w:hAnsi="宋体" w:cs="宋体" w:hint="eastAsia"/>
                <w:i w:val="0"/>
                <w:color w:val="000000"/>
                <w:kern w:val="0"/>
                <w:sz w:val="21"/>
                <w:szCs w:val="21"/>
                <w:u w:val="none"/>
                <w:lang w:val="en-US" w:eastAsia="zh-CN" w:bidi="ar"/>
              </w:rPr>
            </w:pPr>
            <w:r>
              <w:rPr>
                <w:rFonts w:ascii="宋体" w:hAnsi="宋体" w:cs="宋体" w:hint="eastAsia"/>
                <w:i w:val="0"/>
                <w:color w:val="000000"/>
                <w:kern w:val="0"/>
                <w:sz w:val="21"/>
                <w:szCs w:val="21"/>
                <w:u w:val="none"/>
                <w:lang w:val="en-US" w:eastAsia="zh-CN" w:bidi="ar"/>
              </w:rPr>
              <w:t>音乐学院、信息科学技术学院、美术学院、体育学院</w:t>
            </w:r>
          </w:p>
        </w:tc>
      </w:tr>
      <w:tr>
        <w:tblPrEx>
          <w:tblW w:w="9084" w:type="dxa"/>
          <w:tblCellMar>
            <w:top w:w="0" w:type="dxa"/>
            <w:left w:w="108" w:type="dxa"/>
            <w:bottom w:w="0" w:type="dxa"/>
            <w:right w:w="108" w:type="dxa"/>
          </w:tblCellMar>
          <w:tblLook w:val="0000"/>
        </w:tblPrEx>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i w:val="0"/>
                <w:caps w:val="0"/>
                <w:color w:val="000000"/>
                <w:spacing w:val="0"/>
                <w:kern w:val="2"/>
                <w:sz w:val="21"/>
                <w:szCs w:val="21"/>
                <w:shd w:val="clear" w:color="auto" w:fill="FFFFFF"/>
                <w:vertAlign w:val="baseline"/>
                <w:lang w:val="en-US" w:eastAsia="zh-CN" w:bidi="ar-SA"/>
              </w:rPr>
            </w:pPr>
            <w:r>
              <w:rPr>
                <w:rFonts w:ascii="宋体" w:hAnsi="宋体" w:cs="宋体" w:hint="eastAsia"/>
                <w:i w:val="0"/>
                <w:caps w:val="0"/>
                <w:color w:val="000000"/>
                <w:spacing w:val="0"/>
                <w:sz w:val="21"/>
                <w:szCs w:val="21"/>
                <w:shd w:val="clear" w:color="auto" w:fill="FFFFFF"/>
                <w:vertAlign w:val="baseline"/>
                <w:lang w:val="en-US" w:eastAsia="zh-CN"/>
              </w:rPr>
              <w:t>第5场</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4月13日（周二）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18:30-21:00</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桂林洋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文C201</w:t>
            </w:r>
          </w:p>
        </w:tc>
        <w:tc>
          <w:tcPr>
            <w:tcW w:w="2430" w:type="dxa"/>
            <w:vMerg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p>
        </w:tc>
        <w:tc>
          <w:tcPr>
            <w:tcW w:w="1245" w:type="dxa"/>
            <w:vMerg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p>
        </w:tc>
        <w:tc>
          <w:tcPr>
            <w:tcW w:w="1470" w:type="dxa"/>
            <w:vAlign w:val="center"/>
          </w:tcPr>
          <w:p>
            <w:pPr>
              <w:keepNext w:val="0"/>
              <w:keepLines w:val="0"/>
              <w:widowControl/>
              <w:suppressLineNumbers w:val="0"/>
              <w:jc w:val="center"/>
              <w:textAlignment w:val="center"/>
              <w:rPr>
                <w:rFonts w:ascii="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olor w:val="000000"/>
                <w:kern w:val="0"/>
                <w:sz w:val="21"/>
                <w:szCs w:val="21"/>
                <w:u w:val="none"/>
                <w:lang w:val="en-US" w:eastAsia="zh-CN" w:bidi="ar"/>
              </w:rPr>
              <w:t>文学院、理学院、外国语学院、管理学院、马克思主义学院</w:t>
            </w:r>
          </w:p>
        </w:tc>
      </w:tr>
      <w:tr>
        <w:tblPrEx>
          <w:tblW w:w="9084" w:type="dxa"/>
          <w:tblCellMar>
            <w:top w:w="0" w:type="dxa"/>
            <w:left w:w="108" w:type="dxa"/>
            <w:bottom w:w="0" w:type="dxa"/>
            <w:right w:w="108" w:type="dxa"/>
          </w:tblCellMar>
          <w:tblLook w:val="0000"/>
        </w:tblPrEx>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第6场</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4月14日（周三）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18:30-21:00</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府城</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aps w:val="0"/>
                <w:color w:val="000000"/>
                <w:spacing w:val="0"/>
                <w:sz w:val="21"/>
                <w:szCs w:val="21"/>
                <w:shd w:val="clear" w:color="auto" w:fill="FFFFFF"/>
                <w:vertAlign w:val="baseline"/>
                <w:lang w:val="en-US" w:eastAsia="zh-CN"/>
              </w:rPr>
              <w:t>科B201</w:t>
            </w:r>
          </w:p>
        </w:tc>
        <w:tc>
          <w:tcPr>
            <w:tcW w:w="2430" w:type="dxa"/>
            <w:vMerg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p>
        </w:tc>
        <w:tc>
          <w:tcPr>
            <w:tcW w:w="1245" w:type="dxa"/>
            <w:vMerg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default"/>
                <w:i w:val="0"/>
                <w:caps w:val="0"/>
                <w:color w:val="000000"/>
                <w:spacing w:val="0"/>
                <w:sz w:val="21"/>
                <w:szCs w:val="21"/>
                <w:shd w:val="clear" w:color="auto" w:fill="FFFFFF"/>
                <w:vertAlign w:val="baseline"/>
                <w:lang w:val="en-US" w:eastAsia="zh-CN"/>
              </w:rPr>
            </w:pPr>
          </w:p>
        </w:tc>
        <w:tc>
          <w:tcPr>
            <w:tcW w:w="1470" w:type="dxa"/>
            <w:vAlign w:val="center"/>
          </w:tcPr>
          <w:p>
            <w:pPr>
              <w:keepNext w:val="0"/>
              <w:keepLines w:val="0"/>
              <w:widowControl/>
              <w:suppressLineNumbers w:val="0"/>
              <w:jc w:val="center"/>
              <w:textAlignment w:val="center"/>
              <w:rPr>
                <w:rFonts w:ascii="宋体" w:hAnsi="宋体" w:cs="宋体" w:hint="eastAsia"/>
                <w:i w:val="0"/>
                <w:caps w:val="0"/>
                <w:color w:val="000000"/>
                <w:spacing w:val="0"/>
                <w:sz w:val="21"/>
                <w:szCs w:val="21"/>
                <w:shd w:val="clear" w:color="auto" w:fill="FFFFFF"/>
                <w:vertAlign w:val="baseline"/>
                <w:lang w:val="en-US" w:eastAsia="zh-CN"/>
              </w:rPr>
            </w:pPr>
            <w:r>
              <w:rPr>
                <w:rFonts w:ascii="宋体" w:hAnsi="宋体" w:cs="宋体" w:hint="eastAsia"/>
                <w:i w:val="0"/>
                <w:color w:val="000000"/>
                <w:kern w:val="0"/>
                <w:sz w:val="21"/>
                <w:szCs w:val="21"/>
                <w:u w:val="none"/>
                <w:lang w:val="en-US" w:eastAsia="zh-CN" w:bidi="ar"/>
              </w:rPr>
              <w:t>学前教育学院</w:t>
            </w:r>
          </w:p>
        </w:tc>
      </w:tr>
    </w:tbl>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eastAsia"/>
          <w:b/>
          <w:bCs/>
          <w:sz w:val="32"/>
          <w:szCs w:val="32"/>
          <w:lang w:val="en-US" w:eastAsia="zh-CN"/>
        </w:rPr>
      </w:pPr>
      <w:r>
        <w:rPr>
          <w:rFonts w:ascii="仿宋_GB2312" w:eastAsia="仿宋_GB2312" w:hAnsi="仿宋_GB2312" w:cs="仿宋_GB2312" w:hint="eastAsia"/>
          <w:b/>
          <w:bCs/>
          <w:sz w:val="32"/>
          <w:szCs w:val="32"/>
          <w:lang w:val="en-US" w:eastAsia="zh-CN"/>
        </w:rPr>
        <w:t>四、相关工作要求及事项说明</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（一）请各学院务必高度重视本次培训活动，务必要求在本学院承担课程教学任务的教师（含兼课教师）全员参加培训。</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（二）教务处将对本次培训活动进行考勤管理并及时对各学院教师参加培训的情况进行校内通报。</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（三）各参训学院教师须参加两个平台的的培训，如在校内统一安排的时间段有教学或其他任务冲突，可在第1-3场和第4-6场中其他时段前往培训地点参训。</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7040" w:firstLineChars="2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教务处</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仿宋_GB2312" w:eastAsia="仿宋_GB2312" w:hAnsi="仿宋_GB2312" w:cs="仿宋_GB2312" w:hint="default"/>
          <w:sz w:val="32"/>
          <w:szCs w:val="32"/>
          <w:lang w:val="en-US" w:eastAsia="zh-CN"/>
        </w:rPr>
      </w:pPr>
      <w:r>
        <w:rPr>
          <w:rFonts w:ascii="仿宋_GB2312" w:eastAsia="仿宋_GB2312" w:hAnsi="仿宋_GB2312" w:cs="仿宋_GB2312" w:hint="eastAsia"/>
          <w:sz w:val="32"/>
          <w:szCs w:val="32"/>
          <w:lang w:val="en-US" w:eastAsia="zh-CN"/>
        </w:rPr>
        <w:t xml:space="preserve">                                   2021年3月25日</w:t>
      </w:r>
    </w:p>
    <w:p>
      <w:pPr>
        <w:jc w:val="both"/>
        <w:rPr>
          <w:rFonts w:hint="default"/>
          <w:sz w:val="32"/>
          <w:szCs w:val="32"/>
          <w:lang w:val="en-US" w:eastAsia="zh-CN"/>
        </w:rPr>
      </w:pPr>
    </w:p>
    <w:p>
      <w:pPr>
        <w:jc w:val="both"/>
        <w:rPr>
          <w:rFonts w:hint="default"/>
          <w:sz w:val="32"/>
          <w:szCs w:val="32"/>
          <w:lang w:val="en-US" w:eastAsia="zh-CN"/>
        </w:rPr>
      </w:pPr>
    </w:p>
    <w:p>
      <w:pPr>
        <w:jc w:val="both"/>
        <w:rPr>
          <w:rFonts w:hint="default"/>
          <w:sz w:val="32"/>
          <w:szCs w:val="32"/>
          <w:lang w:val="en-US" w:eastAsia="zh-CN"/>
        </w:rPr>
      </w:pPr>
    </w:p>
    <w:p>
      <w:pPr>
        <w:jc w:val="both"/>
        <w:rPr>
          <w:rFonts w:hint="default"/>
          <w:sz w:val="32"/>
          <w:szCs w:val="32"/>
          <w:lang w:val="en-US" w:eastAsia="zh-CN"/>
        </w:rPr>
      </w:pPr>
    </w:p>
    <w:p>
      <w:pPr>
        <w:jc w:val="both"/>
        <w:rPr>
          <w:rFonts w:hint="default"/>
          <w:sz w:val="32"/>
          <w:szCs w:val="32"/>
          <w:lang w:val="en-US" w:eastAsia="zh-CN"/>
        </w:rPr>
      </w:pPr>
    </w:p>
    <w:p>
      <w:pPr>
        <w:jc w:val="both"/>
        <w:rPr>
          <w:rFonts w:hint="default"/>
          <w:sz w:val="32"/>
          <w:szCs w:val="32"/>
          <w:lang w:val="en-US" w:eastAsia="zh-CN"/>
        </w:rPr>
      </w:pPr>
    </w:p>
    <w:p>
      <w:pPr>
        <w:jc w:val="both"/>
        <w:rPr>
          <w:rFonts w:hint="default"/>
          <w:sz w:val="32"/>
          <w:szCs w:val="32"/>
          <w:lang w:val="en-US" w:eastAsia="zh-CN"/>
        </w:rPr>
      </w:pPr>
    </w:p>
    <w:p>
      <w:pPr>
        <w:jc w:val="both"/>
        <w:rPr>
          <w:rFonts w:hint="default"/>
          <w:sz w:val="32"/>
          <w:szCs w:val="32"/>
          <w:lang w:val="en-US" w:eastAsia="zh-CN"/>
        </w:rPr>
      </w:pPr>
    </w:p>
    <w:p>
      <w:pPr>
        <w:jc w:val="both"/>
        <w:rPr>
          <w:rFonts w:hint="default"/>
          <w:sz w:val="32"/>
          <w:szCs w:val="32"/>
          <w:lang w:val="en-US" w:eastAsia="zh-CN"/>
        </w:rPr>
      </w:pPr>
    </w:p>
    <w:p>
      <w:pPr>
        <w:jc w:val="both"/>
        <w:rPr>
          <w:rFonts w:hint="default"/>
          <w:sz w:val="32"/>
          <w:szCs w:val="32"/>
          <w:lang w:val="en-US" w:eastAsia="zh-CN"/>
        </w:rPr>
      </w:pPr>
    </w:p>
    <w:p>
      <w:pPr>
        <w:jc w:val="both"/>
        <w:rPr>
          <w:rFonts w:hint="default"/>
          <w:sz w:val="32"/>
          <w:szCs w:val="32"/>
          <w:lang w:val="en-US" w:eastAsia="zh-CN"/>
        </w:rPr>
      </w:pPr>
    </w:p>
    <w:p>
      <w:pPr>
        <w:jc w:val="both"/>
        <w:rPr>
          <w:rFonts w:hint="default"/>
          <w:sz w:val="32"/>
          <w:szCs w:val="32"/>
          <w:lang w:val="en-US" w:eastAsia="zh-CN"/>
        </w:rPr>
      </w:pPr>
    </w:p>
    <w:p>
      <w:pPr>
        <w:jc w:val="both"/>
        <w:rPr>
          <w:rFonts w:hint="default"/>
          <w:sz w:val="32"/>
          <w:szCs w:val="32"/>
          <w:lang w:val="en-US" w:eastAsia="zh-CN"/>
        </w:rPr>
      </w:pPr>
    </w:p>
    <w:p>
      <w:pPr>
        <w:jc w:val="both"/>
        <w:rPr>
          <w:rFonts w:hint="default"/>
          <w:sz w:val="32"/>
          <w:szCs w:val="32"/>
          <w:lang w:val="en-US" w:eastAsia="zh-CN"/>
        </w:rPr>
      </w:pPr>
    </w:p>
    <w:p>
      <w:pPr>
        <w:jc w:val="both"/>
        <w:rPr>
          <w:rFonts w:hint="default"/>
          <w:sz w:val="32"/>
          <w:szCs w:val="32"/>
          <w:lang w:val="en-US" w:eastAsia="zh-CN"/>
        </w:rPr>
      </w:pPr>
    </w:p>
    <w:p>
      <w:pPr>
        <w:spacing w:line="500" w:lineRule="exact"/>
        <w:rPr>
          <w:rFonts w:ascii="仿宋" w:eastAsia="仿宋" w:hAnsi="仿宋" w:hint="eastAsia"/>
          <w:sz w:val="28"/>
          <w:szCs w:val="28"/>
        </w:rPr>
      </w:pPr>
      <w:r>
        <w:rPr>
          <w:rFonts w:hint="eastAsia"/>
          <w:sz w:val="32"/>
          <w:szCs w:val="32"/>
          <w:lang w:val="en-US" w:eastAsia="zh-CN"/>
        </w:rPr>
        <w:t xml:space="preserve">   </w:t>
      </w:r>
      <w:r>
        <w:rPr>
          <w:rFonts w:ascii="仿宋" w:eastAsia="仿宋" w:hAnsi="仿宋" w:hint="eastAsia"/>
          <w:sz w:val="28"/>
          <w:szCs w:val="28"/>
        </w:rPr>
        <w:pict>
          <v:line id="直线 6" o:spid="_x0000_s1025" style="mso-wrap-style:square;position:absolute;z-index:251658240" from="-17.05pt,1.9pt" to="434.2pt,1.95pt">
            <v:stroke linestyle="single"/>
            <o:lock v:ext="edit" aspectratio="f"/>
          </v:line>
        </w:pict>
      </w:r>
      <w:r>
        <w:rPr>
          <w:rFonts w:ascii="仿宋" w:eastAsia="仿宋" w:hAnsi="仿宋" w:hint="eastAsia"/>
          <w:sz w:val="28"/>
          <w:szCs w:val="28"/>
        </w:rPr>
        <w:t xml:space="preserve">琼台师范学院教务处                    </w:t>
      </w:r>
      <w:r>
        <w:rPr>
          <w:rFonts w:ascii="仿宋" w:eastAsia="仿宋" w:hAnsi="仿宋" w:hint="eastAsia"/>
          <w:sz w:val="28"/>
          <w:szCs w:val="28"/>
          <w:lang w:val="en-US" w:eastAsia="zh-CN"/>
        </w:rPr>
        <w:t xml:space="preserve">   </w:t>
      </w:r>
      <w:r>
        <w:rPr>
          <w:rFonts w:ascii="仿宋" w:eastAsia="仿宋" w:hAnsi="仿宋" w:hint="eastAsia"/>
          <w:sz w:val="28"/>
          <w:szCs w:val="28"/>
        </w:rPr>
        <w:t>202</w:t>
      </w:r>
      <w:r>
        <w:rPr>
          <w:rFonts w:ascii="仿宋" w:eastAsia="仿宋" w:hAnsi="仿宋" w:hint="eastAsia"/>
          <w:sz w:val="28"/>
          <w:szCs w:val="28"/>
          <w:lang w:val="en-US" w:eastAsia="zh-CN"/>
        </w:rPr>
        <w:t>1</w:t>
      </w:r>
      <w:r>
        <w:rPr>
          <w:rFonts w:ascii="仿宋" w:eastAsia="仿宋" w:hAnsi="仿宋" w:hint="eastAsia"/>
          <w:sz w:val="28"/>
          <w:szCs w:val="28"/>
        </w:rPr>
        <w:t>年</w:t>
      </w:r>
      <w:r>
        <w:rPr>
          <w:rFonts w:ascii="仿宋" w:eastAsia="仿宋" w:hAnsi="仿宋" w:hint="eastAsia"/>
          <w:sz w:val="28"/>
          <w:szCs w:val="28"/>
          <w:lang w:val="en-US" w:eastAsia="zh-CN"/>
        </w:rPr>
        <w:t>3</w:t>
      </w:r>
      <w:r>
        <w:rPr>
          <w:rFonts w:ascii="仿宋" w:eastAsia="仿宋" w:hAnsi="仿宋" w:hint="eastAsia"/>
          <w:sz w:val="28"/>
          <w:szCs w:val="28"/>
        </w:rPr>
        <w:t>月</w:t>
      </w:r>
      <w:r>
        <w:rPr>
          <w:rFonts w:ascii="仿宋" w:eastAsia="仿宋" w:hAnsi="仿宋" w:hint="eastAsia"/>
          <w:sz w:val="28"/>
          <w:szCs w:val="28"/>
          <w:lang w:val="en-US" w:eastAsia="zh-CN"/>
        </w:rPr>
        <w:t>25</w:t>
      </w:r>
      <w:r>
        <w:rPr>
          <w:rFonts w:ascii="仿宋" w:eastAsia="仿宋" w:hAnsi="仿宋" w:hint="eastAsia"/>
          <w:sz w:val="28"/>
          <w:szCs w:val="28"/>
        </w:rPr>
        <w:t>日印发</w:t>
      </w:r>
    </w:p>
    <w:p>
      <w:pPr>
        <w:pStyle w:val="NoSpacing"/>
        <w:spacing w:line="520" w:lineRule="exact"/>
        <w:ind w:firstLine="480" w:firstLineChars="200"/>
        <w:rPr>
          <w:rFonts w:ascii="宋体" w:eastAsia="宋体" w:hAnsi="宋体" w:hint="eastAsia"/>
          <w:color w:val="000000"/>
          <w:sz w:val="29"/>
        </w:rPr>
      </w:pPr>
      <w:r>
        <w:rPr>
          <w:rFonts w:ascii="仿宋" w:eastAsia="仿宋" w:hAnsi="仿宋" w:hint="eastAsia"/>
          <w:sz w:val="24"/>
        </w:rPr>
        <w:pict>
          <v:line id="直线 7" o:spid="_x0000_s1026" style="mso-wrap-style:square;position:absolute;z-index:251659264" from="-17.2pt,5.25pt" to="434.05pt,5.3pt">
            <v:stroke linestyle="single"/>
            <o:lock v:ext="edit" aspectratio="f"/>
          </v:line>
        </w:pict>
      </w:r>
      <w:r>
        <w:rPr>
          <w:rFonts w:ascii="仿宋" w:eastAsia="仿宋" w:hAnsi="仿宋" w:hint="eastAsia"/>
          <w:sz w:val="24"/>
        </w:rPr>
        <w:t xml:space="preserve">                                                                   </w:t>
      </w:r>
    </w:p>
    <w:p>
      <w:pPr>
        <w:jc w:val="both"/>
        <w:rPr>
          <w:rFonts w:hint="default"/>
          <w:sz w:val="32"/>
          <w:szCs w:val="32"/>
          <w:lang w:val="en-US" w:eastAsia="zh-CN"/>
        </w:rPr>
      </w:pPr>
    </w:p>
    <w:p>
      <w:pPr>
        <w:numPr>
          <w:ilvl w:val="0"/>
          <w:numId w:val="0"/>
        </w:numPr>
        <w:rPr>
          <w:rFonts w:ascii="微软雅黑" w:eastAsia="微软雅黑" w:hAnsi="微软雅黑" w:cs="微软雅黑" w:hint="eastAsia"/>
          <w:b w:val="0"/>
          <w:i w:val="0"/>
          <w:caps w:val="0"/>
          <w:color w:val="000000"/>
          <w:spacing w:val="0"/>
          <w:sz w:val="24"/>
          <w:szCs w:val="24"/>
        </w:rPr>
      </w:pPr>
    </w:p>
    <w:p>
      <w:pPr>
        <w:numPr>
          <w:ilvl w:val="0"/>
          <w:numId w:val="0"/>
        </w:numPr>
        <w:ind w:firstLine="640" w:firstLineChars="200"/>
        <w:rPr>
          <w:rFonts w:ascii="宋体" w:hAnsi="宋体" w:hint="default"/>
          <w:b w:val="0"/>
          <w:bCs/>
          <w:sz w:val="32"/>
          <w:szCs w:val="32"/>
          <w:lang w:val="en-US" w:eastAsia="zh-CN"/>
        </w:rPr>
      </w:pPr>
    </w:p>
    <w:sectPr>
      <w:footerReference w:type="default" r:id="rId4"/>
      <w:pgSz w:w="11906" w:h="16838"/>
      <w:pgMar w:top="1440" w:right="1304" w:bottom="1440" w:left="1304" w:header="851" w:footer="992"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MS Reference Specialty">
    <w:altName w:val="Webdings"/>
    <w:panose1 w:val="05000500000000000000"/>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rPr>
        <w:rFonts w:ascii="宋体" w:eastAsia="宋体" w:hAnsi="宋体" w:hint="eastAsia"/>
        <w:b/>
        <w:sz w:val="24"/>
        <w:lang w:eastAsia="zh-CN"/>
      </w:rPr>
    </w:pPr>
    <w:r>
      <w:rPr>
        <w:rFonts w:ascii="宋体" w:eastAsia="宋体" w:hAnsi="宋体" w:hint="eastAsia"/>
        <w:b/>
        <w:sz w:val="24"/>
        <w:lang w:eastAsia="zh-CN"/>
      </w:rPr>
      <w:t>-</w:t>
    </w:r>
    <w:r>
      <w:rPr>
        <w:rFonts w:ascii="宋体" w:eastAsia="宋体" w:hAnsi="宋体"/>
        <w:b/>
        <w:sz w:val="24"/>
      </w:rPr>
      <w:fldChar w:fldCharType="begin"/>
    </w:r>
    <w:r>
      <w:rPr>
        <w:rFonts w:ascii="宋体" w:eastAsia="宋体" w:hAnsi="宋体"/>
        <w:b/>
        <w:sz w:val="24"/>
      </w:rPr>
      <w:instrText xml:space="preserve"> PAGE   \* MERGEFORMAT </w:instrText>
    </w:r>
    <w:r>
      <w:rPr>
        <w:rFonts w:ascii="宋体" w:eastAsia="宋体" w:hAnsi="宋体"/>
        <w:b/>
        <w:sz w:val="24"/>
      </w:rPr>
      <w:fldChar w:fldCharType="separate"/>
    </w:r>
    <w:r>
      <w:rPr>
        <w:rFonts w:ascii="宋体" w:eastAsia="宋体" w:hAnsi="宋体"/>
        <w:b/>
        <w:sz w:val="24"/>
        <w:lang w:val="zh-CN"/>
      </w:rPr>
      <w:t>18</w:t>
    </w:r>
    <w:r>
      <w:rPr>
        <w:rFonts w:ascii="宋体" w:eastAsia="宋体" w:hAnsi="宋体"/>
        <w:b/>
        <w:sz w:val="24"/>
      </w:rPr>
      <w:fldChar w:fldCharType="end"/>
    </w:r>
    <w:r>
      <w:rPr>
        <w:rFonts w:ascii="宋体" w:eastAsia="宋体" w:hAnsi="宋体" w:hint="eastAsia"/>
        <w:b/>
        <w:sz w:val="24"/>
        <w:lang w:eastAsia="zh-CN"/>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22E767A"/>
    <w:rsid w:val="0CE054A6"/>
    <w:rsid w:val="0EDF6BBC"/>
    <w:rsid w:val="14C92A10"/>
    <w:rsid w:val="198C627F"/>
    <w:rsid w:val="20E1483A"/>
    <w:rsid w:val="2384569B"/>
    <w:rsid w:val="245D2C4C"/>
    <w:rsid w:val="37722370"/>
    <w:rsid w:val="3D602BAA"/>
    <w:rsid w:val="41522819"/>
    <w:rsid w:val="4E631C12"/>
    <w:rsid w:val="4EBF1B1D"/>
    <w:rsid w:val="61DC2418"/>
    <w:rsid w:val="74CF03DE"/>
    <w:rsid w:val="79220314"/>
    <w:rsid w:val="7EE613B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lsdException w:name="footer" w:semiHidden="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character" w:customStyle="1" w:styleId="item-name9">
    <w:name w:val="item-name9"/>
    <w:basedOn w:val="DefaultParagraphFont"/>
  </w:style>
  <w:style w:type="character" w:customStyle="1" w:styleId="item-name2">
    <w:name w:val="item-name2"/>
    <w:basedOn w:val="DefaultParagraphFont"/>
  </w:style>
  <w:style w:type="character" w:customStyle="1" w:styleId="item-name11">
    <w:name w:val="item-name11"/>
    <w:basedOn w:val="DefaultParagraphFont"/>
    <w:rPr>
      <w:color w:val="FFFFFF"/>
      <w:sz w:val="21"/>
      <w:szCs w:val="21"/>
    </w:rPr>
  </w:style>
  <w:style w:type="character" w:customStyle="1" w:styleId="item-name4">
    <w:name w:val="item-name4"/>
    <w:basedOn w:val="DefaultParagraphFont"/>
    <w:rPr>
      <w:sz w:val="24"/>
      <w:szCs w:val="24"/>
    </w:rPr>
  </w:style>
  <w:style w:type="character" w:customStyle="1" w:styleId="item-name10">
    <w:name w:val="item-name10"/>
    <w:basedOn w:val="DefaultParagraphFont"/>
    <w:rPr>
      <w:sz w:val="18"/>
      <w:szCs w:val="18"/>
    </w:rPr>
  </w:style>
  <w:style w:type="character" w:customStyle="1" w:styleId="item-name3">
    <w:name w:val="item-name3"/>
    <w:basedOn w:val="DefaultParagraphFont"/>
  </w:style>
  <w:style w:type="character" w:customStyle="1" w:styleId="item-name8">
    <w:name w:val="item-name8"/>
    <w:basedOn w:val="DefaultParagraphFont"/>
    <w:rPr>
      <w:vanish/>
    </w:rPr>
  </w:style>
  <w:style w:type="character" w:styleId="FollowedHyperlink">
    <w:name w:val="FollowedHyperlink"/>
    <w:basedOn w:val="DefaultParagraphFont"/>
    <w:rPr>
      <w:color w:val="333333"/>
      <w:u w:val="none"/>
    </w:rPr>
  </w:style>
  <w:style w:type="character" w:styleId="Strong">
    <w:name w:val="Strong"/>
    <w:basedOn w:val="DefaultParagraphFont"/>
    <w:qFormat/>
    <w:rPr>
      <w:b/>
    </w:rPr>
  </w:style>
  <w:style w:type="character" w:styleId="Hyperlink">
    <w:name w:val="Hyperlink"/>
    <w:basedOn w:val="DefaultParagraphFont"/>
    <w:rPr>
      <w:color w:val="333333"/>
      <w:u w:val="none"/>
    </w:rPr>
  </w:style>
  <w:style w:type="character" w:customStyle="1" w:styleId="item-name6">
    <w:name w:val="item-name6"/>
    <w:basedOn w:val="DefaultParagraphFont"/>
  </w:style>
  <w:style w:type="character" w:customStyle="1" w:styleId="item-name1">
    <w:name w:val="item-name1"/>
    <w:basedOn w:val="DefaultParagraphFont"/>
    <w:rPr>
      <w:b/>
      <w:color w:val="5B720C"/>
      <w:sz w:val="24"/>
      <w:szCs w:val="24"/>
    </w:rPr>
  </w:style>
  <w:style w:type="character" w:customStyle="1" w:styleId="item-name7">
    <w:name w:val="item-name7"/>
    <w:basedOn w:val="DefaultParagraphFont"/>
  </w:style>
  <w:style w:type="character" w:customStyle="1" w:styleId="pubdate-month">
    <w:name w:val="pubdate-month"/>
    <w:basedOn w:val="DefaultParagraphFont"/>
    <w:rPr>
      <w:color w:val="FFFFFF"/>
      <w:sz w:val="24"/>
      <w:szCs w:val="24"/>
      <w:shd w:val="clear" w:color="auto" w:fill="CC0000"/>
    </w:rPr>
  </w:style>
  <w:style w:type="character" w:customStyle="1" w:styleId="item-name5">
    <w:name w:val="item-name5"/>
    <w:basedOn w:val="DefaultParagraphFont"/>
    <w:rPr>
      <w:color w:val="FFFFFF"/>
    </w:rPr>
  </w:style>
  <w:style w:type="character" w:customStyle="1" w:styleId="pubdate-day">
    <w:name w:val="pubdate-day"/>
    <w:basedOn w:val="DefaultParagraphFont"/>
    <w:rPr>
      <w:shd w:val="clear" w:color="auto" w:fill="F2F2F2"/>
    </w:rPr>
  </w:style>
  <w:style w:type="character" w:customStyle="1" w:styleId="bei">
    <w:name w:val="bei"/>
    <w:basedOn w:val="DefaultParagraphFont"/>
  </w:style>
  <w:style w:type="character" w:customStyle="1" w:styleId="item-name">
    <w:name w:val="item-name"/>
    <w:basedOn w:val="DefaultParagraphFont"/>
    <w:rPr>
      <w:b w:val="0"/>
      <w:color w:val="333333"/>
      <w:sz w:val="21"/>
      <w:szCs w:val="21"/>
    </w:rPr>
  </w:style>
  <w:style w:type="paragraph" w:styleId="Footer">
    <w:name w:val="footer"/>
    <w:basedOn w:val="Normal"/>
    <w:uiPriority w:val="99"/>
    <w:unhideWhenUsed/>
    <w:pPr>
      <w:tabs>
        <w:tab w:val="center" w:pos="4153"/>
        <w:tab w:val="right" w:pos="8306"/>
      </w:tabs>
      <w:snapToGrid w:val="0"/>
      <w:jc w:val="left"/>
    </w:pPr>
    <w:rPr>
      <w:rFonts w:ascii="MS Reference Specialty" w:hAnsi="MS Reference Specialty" w:cs="Times New Roman"/>
      <w:kern w:val="0"/>
      <w:sz w:val="18"/>
      <w:szCs w:val="18"/>
    </w:rPr>
  </w:style>
  <w:style w:type="paragraph" w:styleId="NormalWeb">
    <w:name w:val="Normal (Web)"/>
    <w:basedOn w:val="Normal"/>
    <w:pPr>
      <w:spacing w:before="100" w:beforeAutospacing="1" w:after="100" w:afterAutospacing="1"/>
      <w:ind w:left="0" w:right="0"/>
      <w:jc w:val="left"/>
    </w:pPr>
    <w:rPr>
      <w:kern w:val="0"/>
      <w:sz w:val="24"/>
      <w:lang w:val="en-US" w:eastAsia="zh-CN" w:bidi="ar"/>
    </w:rPr>
  </w:style>
  <w:style w:type="paragraph" w:styleId="Header">
    <w:name w:val="header"/>
    <w:basedOn w:val="Normal"/>
    <w:uiPriority w:val="99"/>
    <w:unhideWhenUsed/>
    <w:pPr>
      <w:pBdr>
        <w:bottom w:val="single" w:sz="6" w:space="1" w:color="auto"/>
      </w:pBdr>
      <w:tabs>
        <w:tab w:val="center" w:pos="4153"/>
        <w:tab w:val="right" w:pos="8306"/>
      </w:tabs>
      <w:snapToGrid w:val="0"/>
      <w:jc w:val="center"/>
    </w:pPr>
    <w:rPr>
      <w:rFonts w:ascii="MS Reference Specialty" w:hAnsi="MS Reference Specialty" w:cs="Times New Roman"/>
      <w:kern w:val="0"/>
      <w:sz w:val="18"/>
      <w:szCs w:val="18"/>
    </w:rPr>
  </w:style>
  <w:style w:type="paragraph" w:styleId="NoSpacing">
    <w:name w:val="No Spacing"/>
    <w:qFormat/>
    <w:pPr>
      <w:widowControl w:val="0"/>
      <w:jc w:val="both"/>
    </w:pPr>
    <w:rPr>
      <w:rFonts w:ascii="楷体_GB2312" w:eastAsia="楷体_GB2312" w:hAnsi="楷体_GB2312" w:cs="楷体_GB2312"/>
      <w:kern w:val="2"/>
      <w:sz w:val="21"/>
      <w:szCs w:val="24"/>
      <w:lang w:val="en-US" w:eastAsia="zh-CN" w:bidi="ar-SA"/>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157267680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花的姿态</cp:lastModifiedBy>
  <cp:revision>0</cp:revision>
  <cp:lastPrinted>2021-03-25T00:57:03Z</cp:lastPrinted>
  <dcterms:created xsi:type="dcterms:W3CDTF">2021-03-10T02:34:17Z</dcterms:created>
  <dcterms:modified xsi:type="dcterms:W3CDTF">2021-03-25T09:37:29Z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